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A6" w:rsidRDefault="001D2AA6" w:rsidP="001D2AA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1D2AA6" w:rsidRDefault="001D2AA6" w:rsidP="001D2AA6">
      <w:pPr>
        <w:ind w:left="-794" w:right="-794"/>
        <w:jc w:val="center"/>
        <w:rPr>
          <w:szCs w:val="32"/>
          <w:lang w:val="ru-RU"/>
        </w:rPr>
      </w:pPr>
    </w:p>
    <w:p w:rsidR="001D2AA6" w:rsidRDefault="001D2AA6" w:rsidP="001D2AA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1D2AA6" w:rsidRDefault="001D2AA6" w:rsidP="001D2AA6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1D2AA6" w:rsidRDefault="001D2AA6" w:rsidP="001D2AA6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1D2AA6" w:rsidRPr="00E6393B" w:rsidRDefault="001D2AA6" w:rsidP="001D2AA6">
      <w:pPr>
        <w:ind w:left="-794" w:right="-794"/>
        <w:jc w:val="center"/>
        <w:rPr>
          <w:sz w:val="28"/>
          <w:szCs w:val="28"/>
          <w:lang w:val="ru-RU"/>
        </w:rPr>
      </w:pPr>
      <w:r w:rsidRPr="00E6393B">
        <w:rPr>
          <w:sz w:val="28"/>
          <w:szCs w:val="28"/>
          <w:lang w:val="ru-RU"/>
        </w:rPr>
        <w:t>Краткая аннотация к программам дополнительного образования</w:t>
      </w:r>
    </w:p>
    <w:p w:rsidR="001D2AA6" w:rsidRPr="00E6393B" w:rsidRDefault="001D2AA6" w:rsidP="001D2AA6">
      <w:pPr>
        <w:ind w:left="-794" w:right="-794"/>
        <w:jc w:val="center"/>
        <w:rPr>
          <w:b/>
          <w:sz w:val="28"/>
          <w:szCs w:val="28"/>
          <w:lang w:val="ru-RU"/>
        </w:rPr>
      </w:pPr>
    </w:p>
    <w:p w:rsidR="001D2AA6" w:rsidRDefault="001D2AA6" w:rsidP="001D2AA6">
      <w:pPr>
        <w:ind w:left="-794" w:right="-794"/>
        <w:jc w:val="center"/>
        <w:rPr>
          <w:b/>
          <w:lang w:val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1D2AA6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E6393B">
              <w:rPr>
                <w:sz w:val="28"/>
                <w:szCs w:val="28"/>
                <w:lang w:val="ru-RU" w:eastAsia="en-US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E6393B">
              <w:rPr>
                <w:b/>
                <w:sz w:val="28"/>
                <w:szCs w:val="28"/>
                <w:lang w:val="ru-RU" w:eastAsia="en-US"/>
              </w:rPr>
              <w:t>Шахматы /Николаенко В.Н.</w:t>
            </w:r>
          </w:p>
        </w:tc>
      </w:tr>
      <w:tr w:rsidR="001D2AA6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E6393B">
              <w:rPr>
                <w:sz w:val="28"/>
                <w:szCs w:val="28"/>
                <w:lang w:val="ru-RU" w:eastAsia="en-US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E6393B">
              <w:rPr>
                <w:sz w:val="28"/>
                <w:szCs w:val="28"/>
                <w:lang w:val="ru-RU" w:eastAsia="en-US"/>
              </w:rPr>
              <w:t>Физкультурно-спортивная</w:t>
            </w:r>
          </w:p>
        </w:tc>
      </w:tr>
      <w:tr w:rsidR="001D2AA6" w:rsidRPr="00E6393B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E6393B">
              <w:rPr>
                <w:sz w:val="28"/>
                <w:szCs w:val="28"/>
                <w:lang w:val="ru-RU" w:eastAsia="en-US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Pr="00E6393B" w:rsidRDefault="001D2AA6" w:rsidP="00E6393B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>Цель программы</w:t>
            </w: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организация полноценного досуга учащихся через </w:t>
            </w:r>
          </w:p>
          <w:p w:rsidR="001D2AA6" w:rsidRP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обучение игре в шахматы. Посредством занятий шахматами содействовать развитию интеллектуальных способностей и творчества детей. Достигается указанная цель решением следующих задач:</w:t>
            </w:r>
          </w:p>
          <w:p w:rsidR="00E6393B" w:rsidRDefault="001D2AA6" w:rsidP="001D2AA6">
            <w:pPr>
              <w:spacing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образовательные: </w:t>
            </w:r>
          </w:p>
          <w:p w:rsidR="001D2AA6" w:rsidRP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>1)</w:t>
            </w: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>познакомить учащихся с историей шахмат.</w:t>
            </w:r>
          </w:p>
          <w:p w:rsidR="001D2AA6" w:rsidRP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2) Дать ученикам теоретические и практические знания о шахматной игре и рассказать о правилах поведения на соревнованиях и о правилах турнирного поведения. </w:t>
            </w:r>
          </w:p>
          <w:p w:rsidR="001D2AA6" w:rsidRPr="00E6393B" w:rsidRDefault="001D2AA6" w:rsidP="00E6393B">
            <w:pPr>
              <w:spacing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>3) Привить   ученикам навыки самостоятельной работы с учебной шахматной литературой</w:t>
            </w:r>
          </w:p>
          <w:p w:rsid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>воспитательные</w:t>
            </w: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: </w:t>
            </w:r>
          </w:p>
          <w:p w:rsid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>1)</w:t>
            </w: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прививать любовь и интерес к шахматам  </w:t>
            </w:r>
          </w:p>
          <w:p w:rsidR="001D2AA6" w:rsidRPr="00E6393B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 2) 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самостоятельно.</w:t>
            </w:r>
          </w:p>
          <w:p w:rsidR="001D2AA6" w:rsidRPr="00E6393B" w:rsidRDefault="001D2AA6" w:rsidP="00E6393B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sz w:val="28"/>
                <w:szCs w:val="28"/>
                <w:lang w:val="ru-RU" w:eastAsia="en-US"/>
              </w:rPr>
              <w:t>3) воспитывать уважение к сопернику.</w:t>
            </w:r>
          </w:p>
          <w:p w:rsidR="001D2AA6" w:rsidRPr="00E6393B" w:rsidRDefault="001D2AA6" w:rsidP="001D2AA6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E6393B">
              <w:rPr>
                <w:rFonts w:eastAsiaTheme="minorHAnsi"/>
                <w:b/>
                <w:sz w:val="28"/>
                <w:szCs w:val="28"/>
                <w:lang w:val="ru-RU" w:eastAsia="en-US"/>
              </w:rPr>
              <w:t>развивающие:</w:t>
            </w:r>
          </w:p>
          <w:p w:rsidR="001D2AA6" w:rsidRPr="00E6393B" w:rsidRDefault="00E6393B" w:rsidP="00E6393B">
            <w:pPr>
              <w:spacing w:after="160" w:line="259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>1)</w:t>
            </w:r>
            <w:r w:rsidR="001D2AA6" w:rsidRPr="00E6393B">
              <w:rPr>
                <w:rFonts w:eastAsiaTheme="minorHAnsi"/>
                <w:sz w:val="28"/>
                <w:szCs w:val="28"/>
                <w:lang w:val="ru-RU" w:eastAsia="en-US"/>
              </w:rPr>
              <w:t>развивать</w:t>
            </w:r>
            <w:proofErr w:type="gramEnd"/>
            <w:r w:rsidR="001D2AA6"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 логическое мышление, память, внимание, усидчивость;</w:t>
            </w:r>
          </w:p>
          <w:p w:rsidR="001D2AA6" w:rsidRPr="00E6393B" w:rsidRDefault="00E6393B" w:rsidP="00E6393B">
            <w:pPr>
              <w:spacing w:after="160" w:line="259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2)</w:t>
            </w:r>
            <w:r w:rsidR="001D2AA6" w:rsidRPr="00E6393B">
              <w:rPr>
                <w:rFonts w:eastAsiaTheme="minorHAnsi"/>
                <w:sz w:val="28"/>
                <w:szCs w:val="28"/>
                <w:lang w:val="ru-RU" w:eastAsia="en-US"/>
              </w:rPr>
              <w:t>ввести</w:t>
            </w:r>
            <w:proofErr w:type="gramEnd"/>
            <w:r w:rsidR="001D2AA6" w:rsidRPr="00E6393B">
              <w:rPr>
                <w:rFonts w:eastAsiaTheme="minorHAnsi"/>
                <w:sz w:val="28"/>
                <w:szCs w:val="28"/>
                <w:lang w:val="ru-RU" w:eastAsia="en-US"/>
              </w:rPr>
              <w:t xml:space="preserve"> ученика в мир логической красоты и образного мышления, расширять представление об окружающем мире.</w:t>
            </w:r>
          </w:p>
          <w:p w:rsidR="001D2AA6" w:rsidRPr="00E6393B" w:rsidRDefault="001D2AA6">
            <w:pPr>
              <w:spacing w:before="100" w:beforeAutospacing="1" w:after="100" w:afterAutospacing="1"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1D2AA6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Default="001D2AA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Default="001D2AA6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7-10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2AA6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Default="001D2AA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Срок реализации программы /</w:t>
            </w:r>
          </w:p>
          <w:p w:rsidR="001D2AA6" w:rsidRDefault="001D2AA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Программа рас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с</w:t>
            </w: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читана на 2 года обучения.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1 год – 72 часа</w:t>
            </w:r>
          </w:p>
          <w:p w:rsidR="001D2AA6" w:rsidRDefault="001D2AA6" w:rsidP="001D2AA6">
            <w:pPr>
              <w:spacing w:line="276" w:lineRule="auto"/>
              <w:jc w:val="both"/>
              <w:rPr>
                <w:lang w:val="ru-RU" w:eastAsia="en-US"/>
              </w:rPr>
            </w:pPr>
            <w:proofErr w:type="gramStart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2  год</w:t>
            </w:r>
            <w:proofErr w:type="gramEnd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144 часа в го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д</w:t>
            </w:r>
          </w:p>
        </w:tc>
      </w:tr>
      <w:tr w:rsidR="001D2AA6" w:rsidRPr="00E6393B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Default="001D2AA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Занятия проводятся 2 раза в неделю по 2 академических часа с перерывом на отдых.</w:t>
            </w:r>
          </w:p>
          <w:p w:rsidR="001D2AA6" w:rsidRDefault="001D2AA6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1D2AA6" w:rsidRPr="00E6393B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Default="001D2AA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Pr="001D2AA6" w:rsidRDefault="001D2AA6" w:rsidP="001D2AA6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Планируемые результаты</w:t>
            </w:r>
          </w:p>
          <w:p w:rsidR="001D2AA6" w:rsidRPr="001D2AA6" w:rsidRDefault="001D2AA6" w:rsidP="001D2AA6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В результате обучения ученик достигнет следующих результатов:</w:t>
            </w:r>
          </w:p>
          <w:p w:rsidR="001D2AA6" w:rsidRPr="001D2AA6" w:rsidRDefault="001D2AA6" w:rsidP="001D2AA6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личностные результаты: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правила поведения в игре (этические нормы)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- делают выбор </w:t>
            </w:r>
            <w:proofErr w:type="gramStart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при поддержки</w:t>
            </w:r>
            <w:proofErr w:type="gramEnd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учеников группы   педагога как поступить в той или иной ситуации на шахматной доске</w:t>
            </w:r>
          </w:p>
          <w:p w:rsidR="00E6393B" w:rsidRDefault="00E6393B" w:rsidP="001D2AA6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  <w:p w:rsidR="00E6393B" w:rsidRDefault="001D2AA6" w:rsidP="00E6393B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метапредметные</w:t>
            </w:r>
            <w:proofErr w:type="spellEnd"/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результаты:</w:t>
            </w:r>
          </w:p>
          <w:p w:rsidR="001D2AA6" w:rsidRPr="001D2AA6" w:rsidRDefault="001D2AA6" w:rsidP="00E6393B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а) регулятивные УУД:</w:t>
            </w:r>
          </w:p>
          <w:p w:rsidR="001D2AA6" w:rsidRPr="001D2AA6" w:rsidRDefault="001D2AA6" w:rsidP="001D2AA6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работают по предложенному педагогом плану;</w:t>
            </w:r>
          </w:p>
          <w:p w:rsidR="001D2AA6" w:rsidRPr="001D2AA6" w:rsidRDefault="001D2AA6" w:rsidP="001D2AA6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 умеют отличать правильные решения от неправильных;</w:t>
            </w:r>
          </w:p>
          <w:p w:rsidR="001D2AA6" w:rsidRPr="001D2AA6" w:rsidRDefault="001D2AA6" w:rsidP="001D2AA6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совместно с педагогами и другими учениками дают эмоциональную оценку деятельности учеников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б) </w:t>
            </w: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познавательные УУД: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добывают новые знания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делают выводы от полученной информации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сравнивают сильные и слабые позиции на шахматной доске</w:t>
            </w:r>
          </w:p>
          <w:p w:rsidR="001D2AA6" w:rsidRPr="001D2AA6" w:rsidRDefault="001D2AA6" w:rsidP="001D2AA6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в) </w:t>
            </w: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коммуникативные УУД: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доносят свою позицию на доске до других;</w:t>
            </w:r>
          </w:p>
          <w:p w:rsidR="001D2AA6" w:rsidRPr="001D2AA6" w:rsidRDefault="001D2AA6" w:rsidP="001D2AA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- слушают и принимают позицию других учеников;</w:t>
            </w:r>
          </w:p>
          <w:p w:rsidR="001D2AA6" w:rsidRPr="00E6393B" w:rsidRDefault="001D2AA6" w:rsidP="00E6393B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- договариваются о правилах общения и поведения</w:t>
            </w:r>
          </w:p>
        </w:tc>
      </w:tr>
      <w:tr w:rsidR="001D2AA6" w:rsidTr="001D2A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6" w:rsidRPr="00E6393B" w:rsidRDefault="001D2AA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E6393B"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6" w:rsidRPr="001D2AA6" w:rsidRDefault="001D2AA6" w:rsidP="00E6393B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КРИТЕРИИ ОЦЕНКИ РЕЗУЛЬТАТИВНОСТИ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Для оценки уровня подготовленности занимающихся ведётся непрерывный контроль в течение каждого года обучения посредством следующих методов проверки: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шахматные турниры;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доклады;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сеансы одновременной игры;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беседы </w:t>
            </w:r>
            <w:proofErr w:type="gramStart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с фронтальным опросам</w:t>
            </w:r>
            <w:proofErr w:type="gramEnd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:rsidR="001D2AA6" w:rsidRPr="001D2AA6" w:rsidRDefault="001D2AA6" w:rsidP="00E6393B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конкурсы по решению шахматных задач.</w:t>
            </w:r>
            <w:bookmarkStart w:id="0" w:name="_GoBack"/>
            <w:bookmarkEnd w:id="0"/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            </w:t>
            </w:r>
          </w:p>
          <w:p w:rsidR="001D2AA6" w:rsidRPr="001D2AA6" w:rsidRDefault="001D2AA6" w:rsidP="001D2AA6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Формы и способы проверки результативности </w:t>
            </w:r>
          </w:p>
          <w:p w:rsidR="001D2AA6" w:rsidRPr="001D2AA6" w:rsidRDefault="001D2AA6" w:rsidP="00E6393B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  Для диагностики результатов по выявлению уровня знаний, умений и навыков, приобретённых в течение года, проводится зачёт, который включает в себя: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вопросы по теории и истории шахмат;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игру с руководителем кружка;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шахматный турнир со всеми занимающимися в группе.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  </w:t>
            </w: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>Способы проверки</w:t>
            </w: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результативности дополнительной образовательной программы являются: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 1 год обучения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- </w:t>
            </w: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усвоение знаний: беседы, собеседования, опрос;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устойчивый интерес к занятиям: беседы, опрос, анкетирование;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практические достижения: контрольные упражнения, итоговое занятие, турнир в группе;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нравственное развитие: беседа, опрос, педагогическая диагностика;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приобщение к культурным ценностям: беседы, индивидуальные собеседования, игра по станциям.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  2 год обучения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i/>
                <w:sz w:val="28"/>
                <w:szCs w:val="28"/>
                <w:lang w:val="ru-RU" w:eastAsia="en-US"/>
              </w:rPr>
              <w:lastRenderedPageBreak/>
              <w:t xml:space="preserve"> -  </w:t>
            </w: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>усвоение знаний: беседы, собеседования, опрос, контрольные упражнения, индивидуальные собеседования;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устойчивый интерес к занятиям: беседы, опрос, анкетирование, индивидуальные собеседования;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практические достижения: контрольные упражнения, итоговое занятие, турнир в группе, соревнования в школе, клубные дни.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нравственное развитие: беседа, опрос, педагогическая диагностика, анкетирование, контрольные упражнения;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приобщение к культурным ценностям: беседы, индивидуальные собеседования, игра по станциям, рефераты, опрос.</w:t>
            </w:r>
          </w:p>
          <w:p w:rsidR="001D2AA6" w:rsidRPr="001D2AA6" w:rsidRDefault="001D2AA6" w:rsidP="001D2AA6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Формы подведения итогов реализации образовательной программы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Итоги реализации программы предусматривают: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- проведение турниров внутри групп;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- проведение турнира на первенство школы;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 - проведение турниров между клубами;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 контрольные игры.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 Способы фиксации результатов: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портфолио личных достижений;</w:t>
            </w:r>
          </w:p>
          <w:p w:rsidR="001D2AA6" w:rsidRPr="001D2AA6" w:rsidRDefault="001D2AA6" w:rsidP="001D2AA6">
            <w:pPr>
              <w:spacing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2AA6">
              <w:rPr>
                <w:rFonts w:eastAsiaTheme="minorHAnsi"/>
                <w:sz w:val="28"/>
                <w:szCs w:val="28"/>
                <w:lang w:val="ru-RU" w:eastAsia="en-US"/>
              </w:rPr>
              <w:t xml:space="preserve">  - дневник педагогических наблюдений.</w:t>
            </w:r>
          </w:p>
          <w:p w:rsidR="001D2AA6" w:rsidRDefault="001D2AA6">
            <w:pPr>
              <w:spacing w:line="276" w:lineRule="auto"/>
              <w:rPr>
                <w:lang w:val="ru-RU" w:eastAsia="en-US"/>
              </w:rPr>
            </w:pPr>
          </w:p>
        </w:tc>
      </w:tr>
    </w:tbl>
    <w:p w:rsidR="000D0D44" w:rsidRPr="001D2AA6" w:rsidRDefault="000D0D44">
      <w:pPr>
        <w:rPr>
          <w:lang w:val="ru-RU"/>
        </w:rPr>
      </w:pPr>
    </w:p>
    <w:sectPr w:rsidR="000D0D44" w:rsidRPr="001D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10CA"/>
    <w:multiLevelType w:val="hybridMultilevel"/>
    <w:tmpl w:val="D092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6"/>
    <w:rsid w:val="000D0D44"/>
    <w:rsid w:val="001D2AA6"/>
    <w:rsid w:val="00E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B5A2-CDBE-4964-8577-B081232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Тихонова</cp:lastModifiedBy>
  <cp:revision>3</cp:revision>
  <dcterms:created xsi:type="dcterms:W3CDTF">2018-11-20T15:03:00Z</dcterms:created>
  <dcterms:modified xsi:type="dcterms:W3CDTF">2018-11-21T09:12:00Z</dcterms:modified>
</cp:coreProperties>
</file>